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60" w:rsidRPr="00F85D60" w:rsidRDefault="00F85D60" w:rsidP="00F85D60">
      <w:pPr>
        <w:spacing w:after="0" w:line="216" w:lineRule="auto"/>
        <w:contextualSpacing/>
        <w:rPr>
          <w:rFonts w:ascii="Rockwell" w:eastAsiaTheme="majorEastAsia" w:hAnsi="Rockwell" w:cstheme="majorBidi"/>
          <w:b/>
          <w:caps/>
          <w:color w:val="000000" w:themeColor="text1"/>
          <w:spacing w:val="-10"/>
          <w:kern w:val="28"/>
          <w:sz w:val="52"/>
          <w:szCs w:val="56"/>
          <w14:ligatures w14:val="standard"/>
        </w:rPr>
      </w:pPr>
      <w:bookmarkStart w:id="0" w:name="_GoBack"/>
      <w:bookmarkEnd w:id="0"/>
      <w:r w:rsidRPr="00F85D60">
        <w:rPr>
          <w:rFonts w:ascii="Rockwell" w:eastAsiaTheme="majorEastAsia" w:hAnsi="Rockwell" w:cstheme="majorBidi"/>
          <w:b/>
          <w:caps/>
          <w:color w:val="000000" w:themeColor="text1"/>
          <w:spacing w:val="-10"/>
          <w:kern w:val="28"/>
          <w:sz w:val="52"/>
          <w:szCs w:val="56"/>
          <w14:ligatures w14:val="standard"/>
        </w:rPr>
        <w:t xml:space="preserve">UNIT UNPACKING </w:t>
      </w:r>
    </w:p>
    <w:p w:rsidR="00F85D60" w:rsidRPr="00F85D60" w:rsidRDefault="00F85D60" w:rsidP="00F85D60">
      <w:pPr>
        <w:spacing w:after="160" w:line="259" w:lineRule="auto"/>
        <w:rPr>
          <w:rFonts w:ascii="Rockwell" w:hAnsi="Rockwell" w:cs="Segoe UI"/>
          <w:i/>
          <w:color w:val="404040" w:themeColor="text1" w:themeTint="BF"/>
          <w:kern w:val="2"/>
          <w:sz w:val="44"/>
          <w14:ligatures w14:val="standard"/>
        </w:rPr>
      </w:pPr>
      <w:r w:rsidRPr="00F85D60">
        <w:rPr>
          <w:rFonts w:ascii="Rockwell" w:hAnsi="Rockwell" w:cs="Segoe UI"/>
          <w:i/>
          <w:color w:val="404040" w:themeColor="text1" w:themeTint="BF"/>
          <w:kern w:val="2"/>
          <w:sz w:val="44"/>
          <w14:ligatures w14:val="standard"/>
        </w:rPr>
        <w:t>TO METHODICALLY DRIVE STUDENT ACHIEVEMENT</w:t>
      </w:r>
    </w:p>
    <w:p w:rsidR="00F85D60" w:rsidRPr="009A6277" w:rsidRDefault="00F85D60" w:rsidP="00F85D60">
      <w:pPr>
        <w:spacing w:after="160" w:line="259" w:lineRule="auto"/>
        <w:rPr>
          <w:rFonts w:ascii="Rockwell" w:hAnsi="Rockwell" w:cs="Segoe UI"/>
          <w:color w:val="404040" w:themeColor="text1" w:themeTint="BF"/>
          <w:kern w:val="2"/>
          <w:sz w:val="28"/>
          <w:szCs w:val="44"/>
          <w14:ligatures w14:val="standard"/>
        </w:rPr>
      </w:pPr>
      <w:r w:rsidRPr="009A6277">
        <w:rPr>
          <w:rFonts w:ascii="Rockwell" w:hAnsi="Rockwell" w:cs="Segoe UI"/>
          <w:b/>
          <w:color w:val="404040" w:themeColor="text1" w:themeTint="BF"/>
          <w:kern w:val="2"/>
          <w:sz w:val="28"/>
          <w:szCs w:val="44"/>
          <w14:ligatures w14:val="standard"/>
        </w:rPr>
        <w:t xml:space="preserve">Purpose: </w:t>
      </w:r>
    </w:p>
    <w:p w:rsidR="00F85D60" w:rsidRPr="009A6277" w:rsidRDefault="00F85D60" w:rsidP="00F85D60">
      <w:pPr>
        <w:spacing w:after="160" w:line="259" w:lineRule="auto"/>
        <w:rPr>
          <w:rFonts w:cs="Segoe UI"/>
          <w:color w:val="404040" w:themeColor="text1" w:themeTint="BF"/>
          <w:kern w:val="2"/>
          <w:sz w:val="28"/>
          <w:szCs w:val="44"/>
          <w14:ligatures w14:val="standard"/>
        </w:rPr>
      </w:pPr>
      <w:r w:rsidRPr="009A6277">
        <w:rPr>
          <w:rFonts w:cs="Segoe UI"/>
          <w:color w:val="404040" w:themeColor="text1" w:themeTint="BF"/>
          <w:kern w:val="2"/>
          <w:sz w:val="28"/>
          <w:szCs w:val="44"/>
          <w14:ligatures w14:val="standard"/>
        </w:rPr>
        <w:t>The Unit Unpacking protocol is intended help teachers engage with the unit materials in order to:</w:t>
      </w:r>
    </w:p>
    <w:p w:rsidR="00F85D60" w:rsidRPr="009A6277" w:rsidRDefault="00911039" w:rsidP="00F85D60">
      <w:pPr>
        <w:numPr>
          <w:ilvl w:val="0"/>
          <w:numId w:val="12"/>
        </w:numPr>
        <w:spacing w:after="160" w:line="259" w:lineRule="auto"/>
        <w:contextualSpacing/>
        <w:rPr>
          <w:rFonts w:cs="Segoe UI"/>
          <w:color w:val="404040" w:themeColor="text1" w:themeTint="BF"/>
          <w:kern w:val="2"/>
          <w:sz w:val="28"/>
          <w:szCs w:val="44"/>
          <w14:ligatures w14:val="standard"/>
        </w:rPr>
      </w:pPr>
      <w:r w:rsidRPr="009A6277">
        <w:rPr>
          <w:rFonts w:cs="Segoe UI"/>
          <w:color w:val="404040" w:themeColor="text1" w:themeTint="BF"/>
          <w:kern w:val="2"/>
          <w:sz w:val="28"/>
          <w:szCs w:val="44"/>
          <w14:ligatures w14:val="standard"/>
        </w:rPr>
        <w:t>D</w:t>
      </w:r>
      <w:r w:rsidR="00F85D60" w:rsidRPr="009A6277">
        <w:rPr>
          <w:rFonts w:cs="Segoe UI"/>
          <w:color w:val="404040" w:themeColor="text1" w:themeTint="BF"/>
          <w:kern w:val="2"/>
          <w:sz w:val="28"/>
          <w:szCs w:val="44"/>
          <w14:ligatures w14:val="standard"/>
        </w:rPr>
        <w:t>evelop a deep understanding of the necessary end outcomes of the unit and how those to fit within the yearlong sequence and the three year vertical articulation of the standards.</w:t>
      </w:r>
    </w:p>
    <w:p w:rsidR="00F85D60" w:rsidRPr="009A6277" w:rsidRDefault="00911039" w:rsidP="00F85D60">
      <w:pPr>
        <w:numPr>
          <w:ilvl w:val="0"/>
          <w:numId w:val="12"/>
        </w:numPr>
        <w:spacing w:after="160" w:line="259" w:lineRule="auto"/>
        <w:contextualSpacing/>
        <w:rPr>
          <w:rFonts w:cs="Segoe UI"/>
          <w:color w:val="404040" w:themeColor="text1" w:themeTint="BF"/>
          <w:kern w:val="2"/>
          <w:sz w:val="28"/>
          <w:szCs w:val="44"/>
          <w14:ligatures w14:val="standard"/>
        </w:rPr>
      </w:pPr>
      <w:r w:rsidRPr="009A6277">
        <w:rPr>
          <w:rFonts w:cs="Segoe UI"/>
          <w:color w:val="404040" w:themeColor="text1" w:themeTint="BF"/>
          <w:kern w:val="2"/>
          <w:sz w:val="28"/>
          <w:szCs w:val="44"/>
          <w14:ligatures w14:val="standard"/>
        </w:rPr>
        <w:t>U</w:t>
      </w:r>
      <w:r w:rsidR="00F85D60" w:rsidRPr="009A6277">
        <w:rPr>
          <w:rFonts w:cs="Segoe UI"/>
          <w:color w:val="404040" w:themeColor="text1" w:themeTint="BF"/>
          <w:kern w:val="2"/>
          <w:sz w:val="28"/>
          <w:szCs w:val="44"/>
          <w14:ligatures w14:val="standard"/>
        </w:rPr>
        <w:t>nderstand the flow of the unit, particularly the key points for assessment in order to adjust instruction</w:t>
      </w:r>
    </w:p>
    <w:p w:rsidR="0037067F" w:rsidRPr="009A6277" w:rsidRDefault="00911039" w:rsidP="0037067F">
      <w:pPr>
        <w:numPr>
          <w:ilvl w:val="0"/>
          <w:numId w:val="12"/>
        </w:numPr>
        <w:spacing w:after="160" w:line="259" w:lineRule="auto"/>
        <w:contextualSpacing/>
        <w:rPr>
          <w:rFonts w:cs="Segoe UI"/>
          <w:color w:val="404040" w:themeColor="text1" w:themeTint="BF"/>
          <w:kern w:val="2"/>
          <w:sz w:val="28"/>
          <w:szCs w:val="44"/>
          <w14:ligatures w14:val="standard"/>
        </w:rPr>
      </w:pPr>
      <w:r w:rsidRPr="009A6277">
        <w:rPr>
          <w:rFonts w:cs="Segoe UI"/>
          <w:color w:val="404040" w:themeColor="text1" w:themeTint="BF"/>
          <w:kern w:val="2"/>
          <w:sz w:val="28"/>
          <w:szCs w:val="44"/>
          <w14:ligatures w14:val="standard"/>
        </w:rPr>
        <w:t>I</w:t>
      </w:r>
      <w:r w:rsidR="00F85D60" w:rsidRPr="009A6277">
        <w:rPr>
          <w:rFonts w:cs="Segoe UI"/>
          <w:color w:val="404040" w:themeColor="text1" w:themeTint="BF"/>
          <w:kern w:val="2"/>
          <w:sz w:val="28"/>
          <w:szCs w:val="44"/>
          <w14:ligatures w14:val="standard"/>
        </w:rPr>
        <w:t>dentify and plan strategies to address the key prerequisite skill gaps that scholars may have coming into this unit and the potential misconceptions they may develop</w:t>
      </w:r>
    </w:p>
    <w:p w:rsidR="00F85D60" w:rsidRPr="009A6277" w:rsidRDefault="00F85D60" w:rsidP="009A6277">
      <w:pPr>
        <w:numPr>
          <w:ilvl w:val="0"/>
          <w:numId w:val="12"/>
        </w:numPr>
        <w:spacing w:after="160" w:line="259" w:lineRule="auto"/>
        <w:contextualSpacing/>
        <w:rPr>
          <w:rFonts w:cs="Segoe UI"/>
          <w:color w:val="404040" w:themeColor="text1" w:themeTint="BF"/>
          <w:kern w:val="2"/>
          <w:sz w:val="28"/>
          <w:szCs w:val="44"/>
          <w14:ligatures w14:val="standard"/>
        </w:rPr>
      </w:pPr>
      <w:r w:rsidRPr="009A6277">
        <w:rPr>
          <w:rFonts w:cs="Segoe UI"/>
          <w:color w:val="404040" w:themeColor="text1" w:themeTint="BF"/>
          <w:kern w:val="2"/>
          <w:sz w:val="28"/>
          <w:szCs w:val="44"/>
          <w14:ligatures w14:val="standard"/>
        </w:rPr>
        <w:t>By engaging in this protocol, teachers are able to better leverage curricular materials to plan instruction that meets the needs of their scholars and to make adjustments throughout the unit with an understanding of the key outcomes.</w:t>
      </w:r>
    </w:p>
    <w:p w:rsidR="009A6277" w:rsidRDefault="009A6277" w:rsidP="009A6277">
      <w:pPr>
        <w:spacing w:after="160" w:line="259" w:lineRule="auto"/>
        <w:contextualSpacing/>
        <w:rPr>
          <w:rFonts w:ascii="Franklin Gothic Book" w:hAnsi="Franklin Gothic Book" w:cs="Segoe UI"/>
          <w:color w:val="404040" w:themeColor="text1" w:themeTint="BF"/>
          <w:kern w:val="2"/>
          <w:sz w:val="28"/>
          <w:szCs w:val="44"/>
          <w14:ligatures w14:val="standard"/>
        </w:rPr>
      </w:pPr>
    </w:p>
    <w:p w:rsidR="009A6277" w:rsidRPr="009A6277" w:rsidRDefault="009A6277" w:rsidP="009A6277">
      <w:pPr>
        <w:spacing w:after="0" w:line="240" w:lineRule="auto"/>
        <w:rPr>
          <w:rFonts w:ascii="Rockwell" w:hAnsi="Rockwell" w:cs="Segoe UI"/>
          <w:b/>
          <w:color w:val="404040" w:themeColor="text1" w:themeTint="BF"/>
          <w:kern w:val="2"/>
          <w:sz w:val="28"/>
          <w:szCs w:val="28"/>
          <w14:ligatures w14:val="standard"/>
        </w:rPr>
      </w:pPr>
      <w:r w:rsidRPr="009A6277">
        <w:rPr>
          <w:rFonts w:ascii="Rockwell" w:hAnsi="Rockwell" w:cs="Segoe UI"/>
          <w:b/>
          <w:color w:val="404040" w:themeColor="text1" w:themeTint="BF"/>
          <w:kern w:val="2"/>
          <w:sz w:val="28"/>
          <w:szCs w:val="28"/>
          <w14:ligatures w14:val="standard"/>
        </w:rPr>
        <w:t xml:space="preserve">Phases of the Protocol </w:t>
      </w:r>
    </w:p>
    <w:p w:rsidR="009A6277" w:rsidRPr="009A6277" w:rsidRDefault="009A6277" w:rsidP="009A6277">
      <w:pPr>
        <w:spacing w:after="0" w:line="240" w:lineRule="auto"/>
        <w:rPr>
          <w:rFonts w:cs="Segoe UI"/>
          <w:color w:val="404040" w:themeColor="text1" w:themeTint="BF"/>
          <w:kern w:val="2"/>
          <w:sz w:val="28"/>
          <w:szCs w:val="28"/>
          <w14:ligatures w14:val="standard"/>
        </w:rPr>
        <w:sectPr w:rsidR="009A6277" w:rsidRPr="009A6277" w:rsidSect="004C053B">
          <w:pgSz w:w="12240" w:h="15840"/>
          <w:pgMar w:top="720" w:right="720" w:bottom="720" w:left="720" w:header="720" w:footer="720" w:gutter="0"/>
          <w:cols w:space="720"/>
          <w:docGrid w:linePitch="360"/>
        </w:sectPr>
      </w:pPr>
      <w:r w:rsidRPr="009A6277">
        <w:rPr>
          <w:rFonts w:cs="Segoe UI"/>
          <w:color w:val="404040" w:themeColor="text1" w:themeTint="BF"/>
          <w:kern w:val="2"/>
          <w:sz w:val="28"/>
          <w:szCs w:val="28"/>
          <w14:ligatures w14:val="standard"/>
        </w:rPr>
        <w:t xml:space="preserve">The unit unpacking process is multi-faceted.  The UU team will need time to build their analytic muscles and to learn as a team to become more efficient with the process.  We always recommend proceeding through the phases in order but distribution of time </w:t>
      </w:r>
      <w:r>
        <w:rPr>
          <w:rFonts w:cs="Segoe UI"/>
          <w:color w:val="404040" w:themeColor="text1" w:themeTint="BF"/>
          <w:kern w:val="2"/>
          <w:sz w:val="28"/>
          <w:szCs w:val="28"/>
          <w14:ligatures w14:val="standard"/>
        </w:rPr>
        <w:t>may vary</w:t>
      </w:r>
    </w:p>
    <w:p w:rsidR="009A6277" w:rsidRDefault="009A6277" w:rsidP="009A6277">
      <w:pPr>
        <w:spacing w:after="0" w:line="240" w:lineRule="auto"/>
        <w:rPr>
          <w:rFonts w:ascii="Segoe UI" w:hAnsi="Segoe UI" w:cs="Segoe UI"/>
          <w:b/>
          <w:color w:val="404040" w:themeColor="text1" w:themeTint="BF"/>
          <w:kern w:val="2"/>
          <w:sz w:val="32"/>
          <w:u w:val="single"/>
          <w14:ligatures w14:val="standard"/>
        </w:rPr>
      </w:pPr>
      <w:r w:rsidRPr="00F85D60">
        <w:rPr>
          <w:rFonts w:ascii="Segoe UI" w:hAnsi="Segoe UI" w:cs="Segoe UI"/>
          <w:b/>
          <w:color w:val="404040" w:themeColor="text1" w:themeTint="BF"/>
          <w:kern w:val="2"/>
          <w:sz w:val="32"/>
          <w:u w:val="single"/>
          <w14:ligatures w14:val="standard"/>
        </w:rPr>
        <w:lastRenderedPageBreak/>
        <w:t>Unit Unpacking Protocol</w:t>
      </w:r>
    </w:p>
    <w:p w:rsidR="009A6277" w:rsidRPr="009A6277" w:rsidRDefault="009A6277" w:rsidP="009A6277">
      <w:pPr>
        <w:spacing w:after="0" w:line="240" w:lineRule="auto"/>
        <w:rPr>
          <w:rFonts w:ascii="Segoe UI" w:hAnsi="Segoe UI" w:cs="Segoe UI"/>
          <w:b/>
          <w:color w:val="404040" w:themeColor="text1" w:themeTint="BF"/>
          <w:kern w:val="2"/>
          <w:sz w:val="10"/>
          <w:szCs w:val="10"/>
          <w:u w:val="single"/>
          <w14:ligatures w14:val="standard"/>
        </w:rPr>
      </w:pPr>
    </w:p>
    <w:tbl>
      <w:tblPr>
        <w:tblStyle w:val="TableGrid"/>
        <w:tblW w:w="14400" w:type="dxa"/>
        <w:tblLook w:val="04A0" w:firstRow="1" w:lastRow="0" w:firstColumn="1" w:lastColumn="0" w:noHBand="0" w:noVBand="1"/>
      </w:tblPr>
      <w:tblGrid>
        <w:gridCol w:w="4500"/>
        <w:gridCol w:w="6224"/>
        <w:gridCol w:w="3676"/>
      </w:tblGrid>
      <w:tr w:rsidR="009A6277" w:rsidTr="009A6277">
        <w:tc>
          <w:tcPr>
            <w:tcW w:w="4500" w:type="dxa"/>
          </w:tcPr>
          <w:p w:rsidR="009A6277" w:rsidRDefault="009A6277" w:rsidP="00A54E37"/>
        </w:tc>
        <w:tc>
          <w:tcPr>
            <w:tcW w:w="6224" w:type="dxa"/>
          </w:tcPr>
          <w:p w:rsidR="009A6277" w:rsidRPr="00227D71" w:rsidRDefault="009A6277" w:rsidP="00A54E37">
            <w:pPr>
              <w:rPr>
                <w:b/>
              </w:rPr>
            </w:pPr>
            <w:r w:rsidRPr="00227D71">
              <w:rPr>
                <w:b/>
              </w:rPr>
              <w:t>My Notes</w:t>
            </w:r>
          </w:p>
        </w:tc>
        <w:tc>
          <w:tcPr>
            <w:tcW w:w="3676" w:type="dxa"/>
          </w:tcPr>
          <w:p w:rsidR="009A6277" w:rsidRPr="00227D71" w:rsidRDefault="009A6277" w:rsidP="00A54E37">
            <w:pPr>
              <w:rPr>
                <w:b/>
              </w:rPr>
            </w:pPr>
            <w:r>
              <w:rPr>
                <w:b/>
              </w:rPr>
              <w:t xml:space="preserve">My </w:t>
            </w:r>
            <w:r w:rsidRPr="00227D71">
              <w:rPr>
                <w:b/>
              </w:rPr>
              <w:t>Next Steps</w:t>
            </w:r>
          </w:p>
        </w:tc>
      </w:tr>
      <w:tr w:rsidR="009A6277" w:rsidTr="009A6277">
        <w:tc>
          <w:tcPr>
            <w:tcW w:w="4500" w:type="dxa"/>
          </w:tcPr>
          <w:p w:rsidR="009A6277" w:rsidRDefault="009A6277" w:rsidP="00A54E37">
            <w:pPr>
              <w:jc w:val="both"/>
              <w:rPr>
                <w:b/>
              </w:rPr>
            </w:pPr>
            <w:r>
              <w:rPr>
                <w:b/>
              </w:rPr>
              <w:t>Phase 0: Warm Up/ Connecting to Deeper Purpose</w:t>
            </w:r>
            <w:r>
              <w:rPr>
                <w:b/>
                <w:color w:val="FF0000"/>
              </w:rPr>
              <w:t xml:space="preserve"> (5-10 minutes)</w:t>
            </w:r>
          </w:p>
          <w:p w:rsidR="009A6277" w:rsidRDefault="009A6277" w:rsidP="00A54E37">
            <w:pPr>
              <w:pStyle w:val="ListParagraph"/>
              <w:numPr>
                <w:ilvl w:val="0"/>
                <w:numId w:val="14"/>
              </w:numPr>
              <w:textAlignment w:val="center"/>
              <w:rPr>
                <w:rFonts w:eastAsia="Times New Roman" w:cstheme="minorHAnsi"/>
              </w:rPr>
            </w:pPr>
            <w:r w:rsidRPr="00C76880">
              <w:t>What about this unit material can be leveraged to engage students? teach character?</w:t>
            </w:r>
            <w:r w:rsidRPr="00AB5864">
              <w:rPr>
                <w:rFonts w:eastAsia="Times New Roman" w:cstheme="minorHAnsi"/>
              </w:rPr>
              <w:t xml:space="preserve"> c</w:t>
            </w:r>
            <w:r w:rsidRPr="00C76880">
              <w:t>ultivate identity?</w:t>
            </w:r>
            <w:r w:rsidRPr="00AB5864">
              <w:rPr>
                <w:rFonts w:eastAsia="Times New Roman" w:cstheme="minorHAnsi"/>
              </w:rPr>
              <w:t xml:space="preserve"> d</w:t>
            </w:r>
            <w:r w:rsidRPr="00C76880">
              <w:t>eepen connections to the world?</w:t>
            </w:r>
            <w:r w:rsidRPr="00AB5864">
              <w:rPr>
                <w:rFonts w:eastAsia="Times New Roman" w:cstheme="minorHAnsi"/>
              </w:rPr>
              <w:t xml:space="preserve"> </w:t>
            </w:r>
          </w:p>
          <w:p w:rsidR="009A6277" w:rsidRPr="00AB5864" w:rsidRDefault="009A6277" w:rsidP="00A54E37">
            <w:pPr>
              <w:pStyle w:val="ListParagraph"/>
              <w:numPr>
                <w:ilvl w:val="0"/>
                <w:numId w:val="14"/>
              </w:numPr>
              <w:textAlignment w:val="center"/>
              <w:rPr>
                <w:rFonts w:eastAsia="Times New Roman" w:cstheme="minorHAnsi"/>
              </w:rPr>
            </w:pPr>
            <w:r w:rsidRPr="00AB5864">
              <w:rPr>
                <w:rFonts w:eastAsia="Times New Roman" w:cstheme="minorHAnsi"/>
              </w:rPr>
              <w:t>What about this is relevant to students or how can I make it relevant?</w:t>
            </w:r>
          </w:p>
          <w:p w:rsidR="009A6277" w:rsidRPr="00480BC6" w:rsidRDefault="009A6277" w:rsidP="00A54E37">
            <w:pPr>
              <w:pStyle w:val="ListParagraph"/>
              <w:numPr>
                <w:ilvl w:val="0"/>
                <w:numId w:val="14"/>
              </w:numPr>
              <w:textAlignment w:val="center"/>
              <w:rPr>
                <w:rFonts w:eastAsia="Times New Roman" w:cstheme="minorHAnsi"/>
              </w:rPr>
            </w:pPr>
            <w:r w:rsidRPr="00AB5864">
              <w:rPr>
                <w:rFonts w:eastAsia="Times New Roman" w:cstheme="minorHAnsi"/>
              </w:rPr>
              <w:t xml:space="preserve">What about this unit material built your sense of curiosity?  How can you leverage that with your scholars? </w:t>
            </w:r>
          </w:p>
          <w:p w:rsidR="009A6277" w:rsidRPr="002033CB" w:rsidRDefault="009A6277" w:rsidP="00A54E37">
            <w:pPr>
              <w:rPr>
                <w:rFonts w:cstheme="minorHAnsi"/>
              </w:rPr>
            </w:pPr>
          </w:p>
        </w:tc>
        <w:tc>
          <w:tcPr>
            <w:tcW w:w="6224" w:type="dxa"/>
          </w:tcPr>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tc>
        <w:tc>
          <w:tcPr>
            <w:tcW w:w="3676" w:type="dxa"/>
          </w:tcPr>
          <w:p w:rsidR="009A6277" w:rsidRDefault="009A6277" w:rsidP="00A54E37"/>
        </w:tc>
      </w:tr>
      <w:tr w:rsidR="009A6277" w:rsidTr="009A6277">
        <w:tc>
          <w:tcPr>
            <w:tcW w:w="4500" w:type="dxa"/>
          </w:tcPr>
          <w:p w:rsidR="009A6277" w:rsidRDefault="009A6277" w:rsidP="00A54E37">
            <w:pPr>
              <w:jc w:val="both"/>
              <w:rPr>
                <w:b/>
              </w:rPr>
            </w:pPr>
            <w:r>
              <w:rPr>
                <w:b/>
              </w:rPr>
              <w:t>Phase 1: Deeply Understanding the Unit Outcome</w:t>
            </w:r>
            <w:r>
              <w:rPr>
                <w:b/>
                <w:color w:val="FF0000"/>
              </w:rPr>
              <w:t xml:space="preserve"> (30-40 minutes)</w:t>
            </w:r>
          </w:p>
          <w:p w:rsidR="009A6277" w:rsidRPr="00AB5864" w:rsidRDefault="009A6277" w:rsidP="00A54E37">
            <w:pPr>
              <w:pStyle w:val="ListParagraph"/>
              <w:numPr>
                <w:ilvl w:val="0"/>
                <w:numId w:val="16"/>
              </w:numPr>
              <w:jc w:val="both"/>
              <w:rPr>
                <w:i/>
              </w:rPr>
            </w:pPr>
            <w:r w:rsidRPr="00AB5864">
              <w:rPr>
                <w:i/>
              </w:rPr>
              <w:t>Step 1: Understand the Unit Outcomes and Vertical Articulation</w:t>
            </w:r>
          </w:p>
          <w:p w:rsidR="009A6277" w:rsidRPr="00CC52C6" w:rsidRDefault="009A6277" w:rsidP="00A54E37">
            <w:pPr>
              <w:pStyle w:val="ListParagraph"/>
              <w:numPr>
                <w:ilvl w:val="0"/>
                <w:numId w:val="15"/>
              </w:numPr>
              <w:jc w:val="both"/>
              <w:rPr>
                <w:b/>
              </w:rPr>
            </w:pPr>
            <w:r>
              <w:t>Based on the unit overview (enduring understandings/ goals) and the focus standards for this unit, identify w</w:t>
            </w:r>
            <w:r w:rsidRPr="005D092E">
              <w:t xml:space="preserve">hat </w:t>
            </w:r>
            <w:r>
              <w:t>students will know, understand, and be able to do at the end of this unit.</w:t>
            </w:r>
          </w:p>
          <w:p w:rsidR="009A6277" w:rsidRPr="00AB5864" w:rsidRDefault="009A6277" w:rsidP="00A54E37">
            <w:pPr>
              <w:pStyle w:val="ListParagraph"/>
              <w:numPr>
                <w:ilvl w:val="0"/>
                <w:numId w:val="15"/>
              </w:numPr>
              <w:jc w:val="both"/>
              <w:rPr>
                <w:b/>
              </w:rPr>
            </w:pPr>
            <w:r>
              <w:t>Articulate how this outcome fits in the 3 year trajectory</w:t>
            </w:r>
          </w:p>
          <w:p w:rsidR="009A6277" w:rsidRPr="00480BC6" w:rsidRDefault="009A6277" w:rsidP="00A54E37">
            <w:pPr>
              <w:pStyle w:val="ListParagraph"/>
              <w:numPr>
                <w:ilvl w:val="0"/>
                <w:numId w:val="15"/>
              </w:numPr>
              <w:jc w:val="both"/>
              <w:rPr>
                <w:b/>
              </w:rPr>
            </w:pPr>
            <w:r>
              <w:t>Articulate how this outcome fits in the yearlong trajectory.</w:t>
            </w:r>
          </w:p>
          <w:p w:rsidR="009A6277" w:rsidRDefault="009A6277" w:rsidP="00A54E37">
            <w:pPr>
              <w:pStyle w:val="ListParagraph"/>
              <w:numPr>
                <w:ilvl w:val="0"/>
                <w:numId w:val="16"/>
              </w:numPr>
              <w:rPr>
                <w:i/>
              </w:rPr>
            </w:pPr>
            <w:r w:rsidRPr="00480BC6">
              <w:rPr>
                <w:i/>
              </w:rPr>
              <w:t>Step 2: Unpack the Rigor and Expectations for the Concrete Unit Deliverables</w:t>
            </w:r>
          </w:p>
          <w:p w:rsidR="009A6277" w:rsidRDefault="009A6277" w:rsidP="00A54E37">
            <w:pPr>
              <w:pStyle w:val="ListParagraph"/>
              <w:numPr>
                <w:ilvl w:val="0"/>
                <w:numId w:val="17"/>
              </w:numPr>
              <w:jc w:val="both"/>
            </w:pPr>
            <w:r>
              <w:t>Identify the end of unit deliverable and articulate how the task reflects the unit outcomes shared in step 1.</w:t>
            </w:r>
          </w:p>
          <w:p w:rsidR="009A6277" w:rsidRPr="00E3131A" w:rsidRDefault="009A6277" w:rsidP="00A54E37">
            <w:pPr>
              <w:pStyle w:val="ListParagraph"/>
              <w:numPr>
                <w:ilvl w:val="0"/>
                <w:numId w:val="17"/>
              </w:numPr>
              <w:jc w:val="both"/>
            </w:pPr>
            <w:r>
              <w:t>Norm on the bar for excellence for this outcome.</w:t>
            </w:r>
          </w:p>
        </w:tc>
        <w:tc>
          <w:tcPr>
            <w:tcW w:w="6224" w:type="dxa"/>
          </w:tcPr>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tc>
        <w:tc>
          <w:tcPr>
            <w:tcW w:w="3676" w:type="dxa"/>
          </w:tcPr>
          <w:p w:rsidR="009A6277" w:rsidRDefault="009A6277" w:rsidP="00A54E37"/>
        </w:tc>
      </w:tr>
      <w:tr w:rsidR="009A6277" w:rsidTr="009A6277">
        <w:tc>
          <w:tcPr>
            <w:tcW w:w="4500" w:type="dxa"/>
          </w:tcPr>
          <w:p w:rsidR="009A6277" w:rsidRDefault="009A6277" w:rsidP="00A54E37">
            <w:pPr>
              <w:rPr>
                <w:b/>
              </w:rPr>
            </w:pPr>
            <w:r>
              <w:rPr>
                <w:b/>
              </w:rPr>
              <w:lastRenderedPageBreak/>
              <w:t>Phase 2: Understanding the Flow of the Unit</w:t>
            </w:r>
          </w:p>
          <w:p w:rsidR="009A6277" w:rsidRDefault="009A6277" w:rsidP="00A54E37">
            <w:pPr>
              <w:jc w:val="both"/>
              <w:rPr>
                <w:b/>
              </w:rPr>
            </w:pPr>
            <w:r>
              <w:rPr>
                <w:b/>
                <w:color w:val="FF0000"/>
              </w:rPr>
              <w:t xml:space="preserve"> (15-25 minutes)</w:t>
            </w:r>
          </w:p>
          <w:p w:rsidR="009A6277" w:rsidRDefault="009A6277" w:rsidP="00A54E37">
            <w:pPr>
              <w:rPr>
                <w:i/>
              </w:rPr>
            </w:pPr>
          </w:p>
          <w:p w:rsidR="009A6277" w:rsidRPr="00480BC6" w:rsidRDefault="009A6277" w:rsidP="00A54E37">
            <w:pPr>
              <w:pStyle w:val="ListParagraph"/>
              <w:numPr>
                <w:ilvl w:val="0"/>
                <w:numId w:val="16"/>
              </w:numPr>
              <w:jc w:val="both"/>
              <w:rPr>
                <w:i/>
              </w:rPr>
            </w:pPr>
            <w:r w:rsidRPr="00480BC6">
              <w:rPr>
                <w:i/>
              </w:rPr>
              <w:t>Step 3: Marking the Building Blocks</w:t>
            </w:r>
          </w:p>
          <w:p w:rsidR="009A6277" w:rsidRDefault="009A6277" w:rsidP="00A54E37">
            <w:pPr>
              <w:pStyle w:val="ListParagraph"/>
              <w:numPr>
                <w:ilvl w:val="0"/>
                <w:numId w:val="18"/>
              </w:numPr>
            </w:pPr>
            <w:r>
              <w:t xml:space="preserve">Starting for beginning of the unit identify the building blocks of the unit.  </w:t>
            </w:r>
            <w:r w:rsidRPr="00480BC6">
              <w:rPr>
                <w:i/>
              </w:rPr>
              <w:t xml:space="preserve">Building blocks should not be daily aims; they should represent larger chunks of knowledge. </w:t>
            </w:r>
            <w:r>
              <w:t>Then mark the “do not pass go” checkpoints in the sequence of the unit to assess progress and make decisions about proceeding through the rest of the unit.</w:t>
            </w:r>
          </w:p>
          <w:p w:rsidR="009A6277" w:rsidRDefault="009A6277" w:rsidP="00A54E37"/>
          <w:p w:rsidR="009A6277" w:rsidRPr="00480BC6" w:rsidRDefault="009A6277" w:rsidP="00A54E37">
            <w:pPr>
              <w:pStyle w:val="ListParagraph"/>
              <w:numPr>
                <w:ilvl w:val="0"/>
                <w:numId w:val="16"/>
              </w:numPr>
              <w:jc w:val="both"/>
              <w:rPr>
                <w:i/>
              </w:rPr>
            </w:pPr>
            <w:r w:rsidRPr="00480BC6">
              <w:rPr>
                <w:i/>
              </w:rPr>
              <w:t>Step 4: Highlight the Critical Lessons</w:t>
            </w:r>
          </w:p>
          <w:p w:rsidR="009A6277" w:rsidRDefault="009A6277" w:rsidP="00A54E37">
            <w:pPr>
              <w:pStyle w:val="ListParagraph"/>
              <w:numPr>
                <w:ilvl w:val="0"/>
                <w:numId w:val="19"/>
              </w:numPr>
            </w:pPr>
            <w:r>
              <w:t>With the end outcomes in mind, identify the most critical aims for reaching those outcomes.  These are the lessons that cannot be shortened or cut from the sequence.</w:t>
            </w:r>
          </w:p>
          <w:p w:rsidR="009A6277" w:rsidRDefault="009A6277" w:rsidP="00A54E37"/>
          <w:p w:rsidR="009A6277" w:rsidRPr="00480BC6" w:rsidRDefault="009A6277" w:rsidP="00A54E37">
            <w:pPr>
              <w:pStyle w:val="ListParagraph"/>
              <w:numPr>
                <w:ilvl w:val="0"/>
                <w:numId w:val="16"/>
              </w:numPr>
              <w:jc w:val="both"/>
              <w:rPr>
                <w:i/>
              </w:rPr>
            </w:pPr>
            <w:r w:rsidRPr="00480BC6">
              <w:rPr>
                <w:i/>
              </w:rPr>
              <w:t>Step 5: Highlight Instructional Strategies</w:t>
            </w:r>
          </w:p>
          <w:p w:rsidR="009A6277" w:rsidRPr="00480BC6" w:rsidRDefault="009A6277" w:rsidP="00A54E37">
            <w:pPr>
              <w:pStyle w:val="ListParagraph"/>
              <w:numPr>
                <w:ilvl w:val="0"/>
                <w:numId w:val="20"/>
              </w:numPr>
              <w:rPr>
                <w:i/>
              </w:rPr>
            </w:pPr>
            <w:r>
              <w:t>Plan for instructional strategies that will ensure scholars learn those building blocks. Name the strategy and if possible model or practice delivery.</w:t>
            </w:r>
          </w:p>
        </w:tc>
        <w:tc>
          <w:tcPr>
            <w:tcW w:w="6224" w:type="dxa"/>
          </w:tcPr>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tc>
        <w:tc>
          <w:tcPr>
            <w:tcW w:w="3676" w:type="dxa"/>
          </w:tcPr>
          <w:p w:rsidR="009A6277" w:rsidRDefault="009A6277" w:rsidP="00A54E37"/>
        </w:tc>
      </w:tr>
    </w:tbl>
    <w:p w:rsidR="009A6277" w:rsidRPr="00F85D60" w:rsidRDefault="009A6277" w:rsidP="009A6277">
      <w:pPr>
        <w:spacing w:after="160" w:line="259" w:lineRule="auto"/>
        <w:rPr>
          <w:rFonts w:ascii="Segoe UI" w:hAnsi="Segoe UI" w:cs="Segoe UI"/>
          <w:b/>
          <w:color w:val="404040" w:themeColor="text1" w:themeTint="BF"/>
          <w:kern w:val="2"/>
          <w:sz w:val="32"/>
          <w:u w:val="single"/>
          <w14:ligatures w14:val="standard"/>
        </w:rPr>
      </w:pPr>
    </w:p>
    <w:tbl>
      <w:tblPr>
        <w:tblStyle w:val="TableGrid"/>
        <w:tblW w:w="14400" w:type="dxa"/>
        <w:tblLook w:val="04A0" w:firstRow="1" w:lastRow="0" w:firstColumn="1" w:lastColumn="0" w:noHBand="0" w:noVBand="1"/>
      </w:tblPr>
      <w:tblGrid>
        <w:gridCol w:w="4500"/>
        <w:gridCol w:w="6224"/>
        <w:gridCol w:w="3676"/>
      </w:tblGrid>
      <w:tr w:rsidR="009A6277" w:rsidTr="009A6277">
        <w:tc>
          <w:tcPr>
            <w:tcW w:w="4500" w:type="dxa"/>
            <w:tcBorders>
              <w:bottom w:val="nil"/>
            </w:tcBorders>
          </w:tcPr>
          <w:p w:rsidR="009A6277" w:rsidRPr="00C76880" w:rsidRDefault="009A6277" w:rsidP="00A54E37">
            <w:pPr>
              <w:jc w:val="both"/>
              <w:rPr>
                <w:b/>
              </w:rPr>
            </w:pPr>
            <w:r>
              <w:rPr>
                <w:b/>
              </w:rPr>
              <w:lastRenderedPageBreak/>
              <w:t xml:space="preserve">Phase 3a: Planning for Gaps and Misconceptions  </w:t>
            </w:r>
            <w:r w:rsidRPr="00F55EBD">
              <w:rPr>
                <w:b/>
                <w:color w:val="FF0000"/>
              </w:rPr>
              <w:t>(</w:t>
            </w:r>
            <w:r>
              <w:rPr>
                <w:b/>
                <w:color w:val="FF0000"/>
              </w:rPr>
              <w:t>15-25</w:t>
            </w:r>
            <w:r w:rsidRPr="00F55EBD">
              <w:rPr>
                <w:b/>
                <w:color w:val="FF0000"/>
              </w:rPr>
              <w:t xml:space="preserve"> minutes)</w:t>
            </w:r>
          </w:p>
          <w:p w:rsidR="009A6277" w:rsidRDefault="009A6277" w:rsidP="00A54E37"/>
          <w:p w:rsidR="009A6277" w:rsidRPr="0028062E" w:rsidRDefault="009A6277" w:rsidP="009A6277">
            <w:pPr>
              <w:pStyle w:val="ListParagraph"/>
              <w:numPr>
                <w:ilvl w:val="0"/>
                <w:numId w:val="16"/>
              </w:numPr>
              <w:jc w:val="both"/>
              <w:rPr>
                <w:i/>
              </w:rPr>
            </w:pPr>
            <w:r w:rsidRPr="0028062E">
              <w:rPr>
                <w:i/>
              </w:rPr>
              <w:t>Step 6: Identifying Pre-requisite Gaps</w:t>
            </w:r>
          </w:p>
          <w:p w:rsidR="009A6277" w:rsidRPr="0028062E" w:rsidRDefault="009A6277" w:rsidP="009A6277">
            <w:pPr>
              <w:pStyle w:val="ListParagraph"/>
              <w:numPr>
                <w:ilvl w:val="0"/>
                <w:numId w:val="21"/>
              </w:numPr>
              <w:jc w:val="both"/>
              <w:rPr>
                <w:b/>
              </w:rPr>
            </w:pPr>
            <w:r>
              <w:t>Identify the most critical pre-requisites that a large group of students might not have.</w:t>
            </w:r>
          </w:p>
          <w:p w:rsidR="009A6277" w:rsidRPr="0028062E" w:rsidRDefault="009A6277" w:rsidP="009A6277">
            <w:pPr>
              <w:pStyle w:val="ListParagraph"/>
              <w:numPr>
                <w:ilvl w:val="0"/>
                <w:numId w:val="21"/>
              </w:numPr>
              <w:jc w:val="both"/>
              <w:rPr>
                <w:b/>
              </w:rPr>
            </w:pPr>
            <w:r>
              <w:t>Plan for the appropriate supports to address these gaps</w:t>
            </w:r>
          </w:p>
          <w:p w:rsidR="009A6277" w:rsidRDefault="009A6277" w:rsidP="00A54E37"/>
          <w:p w:rsidR="009A6277" w:rsidRPr="0028062E" w:rsidRDefault="009A6277" w:rsidP="009A6277">
            <w:pPr>
              <w:pStyle w:val="ListParagraph"/>
              <w:numPr>
                <w:ilvl w:val="0"/>
                <w:numId w:val="16"/>
              </w:numPr>
              <w:jc w:val="both"/>
              <w:rPr>
                <w:i/>
              </w:rPr>
            </w:pPr>
            <w:r w:rsidRPr="0028062E">
              <w:rPr>
                <w:i/>
              </w:rPr>
              <w:t>Step 7: Identifying Misconceptions based on Building Blocks</w:t>
            </w:r>
          </w:p>
          <w:p w:rsidR="009A6277" w:rsidRPr="0028062E" w:rsidRDefault="009A6277" w:rsidP="009A6277">
            <w:pPr>
              <w:pStyle w:val="ListParagraph"/>
              <w:numPr>
                <w:ilvl w:val="0"/>
                <w:numId w:val="22"/>
              </w:numPr>
              <w:jc w:val="both"/>
              <w:rPr>
                <w:b/>
              </w:rPr>
            </w:pPr>
            <w:r>
              <w:t xml:space="preserve">Identify what misconceptions might hold scholars back from understanding the key building blocks.  Identify what faulty logic might develop or what logic students may apply. </w:t>
            </w:r>
            <w:r>
              <w:rPr>
                <w:i/>
              </w:rPr>
              <w:t>At the unit level, focus on conceptual misunderstandings over error based misunderstandings.</w:t>
            </w:r>
          </w:p>
          <w:p w:rsidR="009A6277" w:rsidRPr="0028062E" w:rsidRDefault="009A6277" w:rsidP="009A6277">
            <w:pPr>
              <w:pStyle w:val="ListParagraph"/>
              <w:numPr>
                <w:ilvl w:val="0"/>
                <w:numId w:val="22"/>
              </w:numPr>
              <w:jc w:val="both"/>
              <w:rPr>
                <w:b/>
              </w:rPr>
            </w:pPr>
            <w:r>
              <w:t>Plan for potential strategies to address those misconceptions.</w:t>
            </w:r>
          </w:p>
        </w:tc>
        <w:tc>
          <w:tcPr>
            <w:tcW w:w="6224" w:type="dxa"/>
            <w:tcBorders>
              <w:bottom w:val="nil"/>
            </w:tcBorders>
          </w:tcPr>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p w:rsidR="009A6277" w:rsidRDefault="009A6277" w:rsidP="00A54E37"/>
        </w:tc>
        <w:tc>
          <w:tcPr>
            <w:tcW w:w="3676" w:type="dxa"/>
          </w:tcPr>
          <w:p w:rsidR="009A6277" w:rsidRDefault="009A6277" w:rsidP="00A54E37"/>
        </w:tc>
      </w:tr>
      <w:tr w:rsidR="009A6277" w:rsidTr="009A6277">
        <w:tc>
          <w:tcPr>
            <w:tcW w:w="4500" w:type="dxa"/>
            <w:tcBorders>
              <w:top w:val="nil"/>
            </w:tcBorders>
          </w:tcPr>
          <w:p w:rsidR="009A6277" w:rsidRDefault="009A6277" w:rsidP="00A54E37">
            <w:pPr>
              <w:jc w:val="both"/>
              <w:rPr>
                <w:b/>
                <w:color w:val="FF0000"/>
              </w:rPr>
            </w:pPr>
            <w:r>
              <w:rPr>
                <w:b/>
              </w:rPr>
              <w:t xml:space="preserve">Phase 3b: Planning for Classroom Specific Differentiation </w:t>
            </w:r>
            <w:r>
              <w:rPr>
                <w:b/>
                <w:color w:val="FF0000"/>
              </w:rPr>
              <w:t>(Time permitting)</w:t>
            </w:r>
          </w:p>
          <w:p w:rsidR="009A6277" w:rsidRDefault="009A6277" w:rsidP="00A54E37">
            <w:pPr>
              <w:jc w:val="both"/>
              <w:rPr>
                <w:b/>
              </w:rPr>
            </w:pPr>
          </w:p>
          <w:p w:rsidR="009A6277" w:rsidRPr="0028062E" w:rsidRDefault="009A6277" w:rsidP="009A6277">
            <w:pPr>
              <w:pStyle w:val="ListParagraph"/>
              <w:numPr>
                <w:ilvl w:val="0"/>
                <w:numId w:val="16"/>
              </w:numPr>
              <w:jc w:val="both"/>
              <w:rPr>
                <w:i/>
              </w:rPr>
            </w:pPr>
            <w:r w:rsidRPr="0028062E">
              <w:rPr>
                <w:i/>
              </w:rPr>
              <w:t>Step 8: Making Adjustments Based on Your Scholars</w:t>
            </w:r>
          </w:p>
          <w:p w:rsidR="009A6277" w:rsidRPr="0028062E" w:rsidRDefault="009A6277" w:rsidP="009A6277">
            <w:pPr>
              <w:pStyle w:val="ListParagraph"/>
              <w:numPr>
                <w:ilvl w:val="0"/>
                <w:numId w:val="23"/>
              </w:numPr>
              <w:jc w:val="both"/>
              <w:rPr>
                <w:b/>
              </w:rPr>
            </w:pPr>
            <w:r>
              <w:t>Considering the data and needs of your scholars including specific pre-requisite gaps or misconceptions they are likely to have, plan for any adjustments to the flow of the unit.</w:t>
            </w:r>
          </w:p>
        </w:tc>
        <w:tc>
          <w:tcPr>
            <w:tcW w:w="6224" w:type="dxa"/>
            <w:tcBorders>
              <w:top w:val="nil"/>
            </w:tcBorders>
          </w:tcPr>
          <w:p w:rsidR="009A6277" w:rsidRDefault="009A6277" w:rsidP="00A54E37"/>
        </w:tc>
        <w:tc>
          <w:tcPr>
            <w:tcW w:w="3676" w:type="dxa"/>
          </w:tcPr>
          <w:p w:rsidR="009A6277" w:rsidRDefault="009A6277" w:rsidP="00A54E37"/>
        </w:tc>
      </w:tr>
      <w:tr w:rsidR="009A6277" w:rsidTr="009A6277">
        <w:tc>
          <w:tcPr>
            <w:tcW w:w="4500" w:type="dxa"/>
          </w:tcPr>
          <w:p w:rsidR="009A6277" w:rsidRDefault="009A6277" w:rsidP="00A54E37">
            <w:pPr>
              <w:jc w:val="both"/>
              <w:rPr>
                <w:b/>
                <w:color w:val="FF0000"/>
              </w:rPr>
            </w:pPr>
            <w:r w:rsidRPr="0028062E">
              <w:rPr>
                <w:b/>
              </w:rPr>
              <w:t>Close</w:t>
            </w:r>
            <w:r>
              <w:rPr>
                <w:b/>
              </w:rPr>
              <w:t xml:space="preserve"> Out &amp; Next Steps </w:t>
            </w:r>
            <w:r>
              <w:rPr>
                <w:b/>
                <w:color w:val="FF0000"/>
              </w:rPr>
              <w:t>(5 min)</w:t>
            </w:r>
          </w:p>
          <w:p w:rsidR="009A6277" w:rsidRDefault="009A6277" w:rsidP="00A54E37">
            <w:pPr>
              <w:jc w:val="both"/>
              <w:rPr>
                <w:b/>
              </w:rPr>
            </w:pPr>
          </w:p>
          <w:p w:rsidR="009A6277" w:rsidRDefault="009A6277" w:rsidP="00A54E37">
            <w:pPr>
              <w:jc w:val="both"/>
              <w:rPr>
                <w:b/>
              </w:rPr>
            </w:pPr>
          </w:p>
          <w:p w:rsidR="009A6277" w:rsidRDefault="009A6277" w:rsidP="00A54E37">
            <w:pPr>
              <w:jc w:val="both"/>
              <w:rPr>
                <w:b/>
              </w:rPr>
            </w:pPr>
          </w:p>
          <w:p w:rsidR="009A6277" w:rsidRDefault="009A6277" w:rsidP="00A54E37">
            <w:pPr>
              <w:jc w:val="both"/>
              <w:rPr>
                <w:b/>
              </w:rPr>
            </w:pPr>
          </w:p>
          <w:p w:rsidR="009A6277" w:rsidRPr="0028062E" w:rsidRDefault="009A6277" w:rsidP="00A54E37">
            <w:pPr>
              <w:jc w:val="both"/>
              <w:rPr>
                <w:b/>
              </w:rPr>
            </w:pPr>
          </w:p>
        </w:tc>
        <w:tc>
          <w:tcPr>
            <w:tcW w:w="6224" w:type="dxa"/>
          </w:tcPr>
          <w:p w:rsidR="009A6277" w:rsidRDefault="009A6277" w:rsidP="00A54E37"/>
          <w:p w:rsidR="009A6277" w:rsidRDefault="009A6277" w:rsidP="00A54E37"/>
          <w:p w:rsidR="009A6277" w:rsidRDefault="009A6277" w:rsidP="00A54E37"/>
          <w:p w:rsidR="009A6277" w:rsidRDefault="009A6277" w:rsidP="00A54E37"/>
          <w:p w:rsidR="009A6277" w:rsidRDefault="009A6277" w:rsidP="00A54E37"/>
        </w:tc>
        <w:tc>
          <w:tcPr>
            <w:tcW w:w="3676" w:type="dxa"/>
          </w:tcPr>
          <w:p w:rsidR="009A6277" w:rsidRDefault="009A6277" w:rsidP="00A54E37"/>
        </w:tc>
      </w:tr>
    </w:tbl>
    <w:p w:rsidR="009A6277" w:rsidRDefault="009A6277" w:rsidP="009A6277">
      <w:pPr>
        <w:spacing w:after="160" w:line="259" w:lineRule="auto"/>
        <w:rPr>
          <w:rFonts w:ascii="Segoe UI" w:hAnsi="Segoe UI" w:cs="Segoe UI"/>
          <w:b/>
          <w:color w:val="404040" w:themeColor="text1" w:themeTint="BF"/>
          <w:kern w:val="2"/>
          <w:sz w:val="32"/>
          <w:u w:val="single"/>
          <w14:ligatures w14:val="standard"/>
        </w:rPr>
        <w:sectPr w:rsidR="009A6277" w:rsidSect="00206C0C">
          <w:pgSz w:w="15840" w:h="12240" w:orient="landscape"/>
          <w:pgMar w:top="720" w:right="720" w:bottom="720" w:left="720" w:header="720" w:footer="720" w:gutter="0"/>
          <w:cols w:space="720"/>
          <w:docGrid w:linePitch="360"/>
        </w:sectPr>
      </w:pPr>
    </w:p>
    <w:p w:rsidR="009A6277" w:rsidRPr="00F85D60" w:rsidRDefault="009A6277" w:rsidP="009A6277">
      <w:pPr>
        <w:spacing w:after="160" w:line="259" w:lineRule="auto"/>
        <w:rPr>
          <w:rFonts w:ascii="Segoe UI" w:hAnsi="Segoe UI" w:cs="Segoe UI"/>
          <w:b/>
          <w:color w:val="404040" w:themeColor="text1" w:themeTint="BF"/>
          <w:kern w:val="2"/>
          <w:sz w:val="32"/>
          <w:u w:val="single"/>
          <w14:ligatures w14:val="standard"/>
        </w:rPr>
      </w:pPr>
      <w:r w:rsidRPr="00F85D60">
        <w:rPr>
          <w:rFonts w:ascii="Segoe UI" w:hAnsi="Segoe UI" w:cs="Segoe UI"/>
          <w:b/>
          <w:color w:val="404040" w:themeColor="text1" w:themeTint="BF"/>
          <w:kern w:val="2"/>
          <w:sz w:val="32"/>
          <w:u w:val="single"/>
          <w14:ligatures w14:val="standard"/>
        </w:rPr>
        <w:lastRenderedPageBreak/>
        <w:t>Criteria for Unit Unpacking Facilitation</w:t>
      </w:r>
    </w:p>
    <w:p w:rsidR="009A6277" w:rsidRPr="00F85D60" w:rsidRDefault="009A6277" w:rsidP="009A6277">
      <w:pPr>
        <w:numPr>
          <w:ilvl w:val="0"/>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b/>
          <w:color w:val="404040" w:themeColor="text1" w:themeTint="BF"/>
          <w:kern w:val="2"/>
          <w14:ligatures w14:val="standard"/>
        </w:rPr>
        <w:t xml:space="preserve">Ensures broad participation:  </w:t>
      </w:r>
      <w:r w:rsidRPr="00F85D60">
        <w:rPr>
          <w:rFonts w:ascii="Segoe UI" w:hAnsi="Segoe UI" w:cs="Segoe UI"/>
          <w:color w:val="404040" w:themeColor="text1" w:themeTint="BF"/>
          <w:kern w:val="2"/>
          <w14:ligatures w14:val="standard"/>
        </w:rPr>
        <w:t xml:space="preserve">Employs a range of strategies including </w:t>
      </w:r>
      <w:r w:rsidRPr="00F85D60">
        <w:rPr>
          <w:rFonts w:ascii="Segoe UI" w:hAnsi="Segoe UI" w:cs="Segoe UI"/>
          <w:i/>
          <w:color w:val="404040" w:themeColor="text1" w:themeTint="BF"/>
          <w:kern w:val="2"/>
          <w:u w:val="single"/>
          <w14:ligatures w14:val="standard"/>
        </w:rPr>
        <w:t>everybody writes</w:t>
      </w:r>
      <w:r w:rsidRPr="00F85D60">
        <w:rPr>
          <w:rFonts w:ascii="Segoe UI" w:hAnsi="Segoe UI" w:cs="Segoe UI"/>
          <w:color w:val="404040" w:themeColor="text1" w:themeTint="BF"/>
          <w:kern w:val="2"/>
          <w14:ligatures w14:val="standard"/>
        </w:rPr>
        <w:t xml:space="preserve">, </w:t>
      </w:r>
      <w:r w:rsidRPr="00F85D60">
        <w:rPr>
          <w:rFonts w:ascii="Segoe UI" w:hAnsi="Segoe UI" w:cs="Segoe UI"/>
          <w:i/>
          <w:color w:val="404040" w:themeColor="text1" w:themeTint="BF"/>
          <w:kern w:val="2"/>
          <w:u w:val="single"/>
          <w14:ligatures w14:val="standard"/>
        </w:rPr>
        <w:t>cold call</w:t>
      </w:r>
      <w:r w:rsidRPr="00F85D60">
        <w:rPr>
          <w:rFonts w:ascii="Segoe UI" w:hAnsi="Segoe UI" w:cs="Segoe UI"/>
          <w:color w:val="404040" w:themeColor="text1" w:themeTint="BF"/>
          <w:kern w:val="2"/>
          <w14:ligatures w14:val="standard"/>
        </w:rPr>
        <w:t xml:space="preserve">, </w:t>
      </w:r>
      <w:r w:rsidRPr="00F85D60">
        <w:rPr>
          <w:rFonts w:ascii="Segoe UI" w:hAnsi="Segoe UI" w:cs="Segoe UI"/>
          <w:i/>
          <w:color w:val="404040" w:themeColor="text1" w:themeTint="BF"/>
          <w:kern w:val="2"/>
          <w:u w:val="single"/>
          <w14:ligatures w14:val="standard"/>
        </w:rPr>
        <w:t>whip arounds</w:t>
      </w:r>
      <w:r w:rsidRPr="00F85D60">
        <w:rPr>
          <w:rFonts w:ascii="Segoe UI" w:hAnsi="Segoe UI" w:cs="Segoe UI"/>
          <w:color w:val="404040" w:themeColor="text1" w:themeTint="BF"/>
          <w:kern w:val="2"/>
          <w14:ligatures w14:val="standard"/>
        </w:rPr>
        <w:t xml:space="preserve">, </w:t>
      </w:r>
      <w:r w:rsidRPr="00F85D60">
        <w:rPr>
          <w:rFonts w:ascii="Segoe UI" w:hAnsi="Segoe UI" w:cs="Segoe UI"/>
          <w:i/>
          <w:color w:val="404040" w:themeColor="text1" w:themeTint="BF"/>
          <w:kern w:val="2"/>
          <w:u w:val="single"/>
          <w14:ligatures w14:val="standard"/>
        </w:rPr>
        <w:t>turn and talk</w:t>
      </w:r>
      <w:r w:rsidRPr="00F85D60">
        <w:rPr>
          <w:rFonts w:ascii="Segoe UI" w:hAnsi="Segoe UI" w:cs="Segoe UI"/>
          <w:color w:val="404040" w:themeColor="text1" w:themeTint="BF"/>
          <w:kern w:val="2"/>
          <w14:ligatures w14:val="standard"/>
        </w:rPr>
        <w:t xml:space="preserve">, </w:t>
      </w:r>
      <w:r w:rsidRPr="00F85D60">
        <w:rPr>
          <w:rFonts w:ascii="Segoe UI" w:hAnsi="Segoe UI" w:cs="Segoe UI"/>
          <w:i/>
          <w:color w:val="404040" w:themeColor="text1" w:themeTint="BF"/>
          <w:kern w:val="2"/>
          <w:u w:val="single"/>
          <w14:ligatures w14:val="standard"/>
        </w:rPr>
        <w:t>finger votes</w:t>
      </w:r>
      <w:r w:rsidRPr="00F85D60">
        <w:rPr>
          <w:rFonts w:ascii="Segoe UI" w:hAnsi="Segoe UI" w:cs="Segoe UI"/>
          <w:i/>
          <w:color w:val="404040" w:themeColor="text1" w:themeTint="BF"/>
          <w:kern w:val="2"/>
          <w14:ligatures w14:val="standard"/>
        </w:rPr>
        <w:t xml:space="preserve"> or </w:t>
      </w:r>
      <w:r w:rsidRPr="00F85D60">
        <w:rPr>
          <w:rFonts w:ascii="Segoe UI" w:hAnsi="Segoe UI" w:cs="Segoe UI"/>
          <w:i/>
          <w:color w:val="404040" w:themeColor="text1" w:themeTint="BF"/>
          <w:kern w:val="2"/>
          <w:u w:val="single"/>
          <w14:ligatures w14:val="standard"/>
        </w:rPr>
        <w:t>fist to fives</w:t>
      </w:r>
      <w:r w:rsidRPr="00F85D60">
        <w:rPr>
          <w:rFonts w:ascii="Segoe UI" w:hAnsi="Segoe UI" w:cs="Segoe UI"/>
          <w:color w:val="404040" w:themeColor="text1" w:themeTint="BF"/>
          <w:kern w:val="2"/>
          <w14:ligatures w14:val="standard"/>
        </w:rPr>
        <w:t xml:space="preserve"> as well as </w:t>
      </w:r>
      <w:r w:rsidRPr="00F85D60">
        <w:rPr>
          <w:rFonts w:ascii="Segoe UI" w:hAnsi="Segoe UI" w:cs="Segoe UI"/>
          <w:i/>
          <w:color w:val="404040" w:themeColor="text1" w:themeTint="BF"/>
          <w:kern w:val="2"/>
          <w:u w:val="single"/>
          <w14:ligatures w14:val="standard"/>
        </w:rPr>
        <w:t>wait time</w:t>
      </w:r>
      <w:r w:rsidRPr="00F85D60">
        <w:rPr>
          <w:rFonts w:ascii="Segoe UI" w:hAnsi="Segoe UI" w:cs="Segoe UI"/>
          <w:color w:val="404040" w:themeColor="text1" w:themeTint="BF"/>
          <w:kern w:val="2"/>
          <w14:ligatures w14:val="standard"/>
        </w:rPr>
        <w:t xml:space="preserve"> to ensure broad and even participation.  Has an eye for noticing and engaging quieter participants to ensure a breadth of voices have been heard and that true consensus has been achieved.  </w:t>
      </w:r>
    </w:p>
    <w:p w:rsidR="009A6277" w:rsidRPr="00F85D60" w:rsidRDefault="009A6277" w:rsidP="009A6277">
      <w:pPr>
        <w:numPr>
          <w:ilvl w:val="0"/>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b/>
          <w:color w:val="404040" w:themeColor="text1" w:themeTint="BF"/>
          <w:kern w:val="2"/>
          <w14:ligatures w14:val="standard"/>
        </w:rPr>
        <w:t>Balances urgency with deliberation:</w:t>
      </w:r>
    </w:p>
    <w:p w:rsidR="009A6277" w:rsidRPr="00F85D60" w:rsidRDefault="009A6277" w:rsidP="009A6277">
      <w:pPr>
        <w:numPr>
          <w:ilvl w:val="1"/>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color w:val="404040" w:themeColor="text1" w:themeTint="BF"/>
          <w:kern w:val="2"/>
          <w14:ligatures w14:val="standard"/>
        </w:rPr>
        <w:t>Uses a timer and holds to time stamps.</w:t>
      </w:r>
    </w:p>
    <w:p w:rsidR="009A6277" w:rsidRPr="00F85D60" w:rsidRDefault="009A6277" w:rsidP="009A6277">
      <w:pPr>
        <w:numPr>
          <w:ilvl w:val="1"/>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color w:val="404040" w:themeColor="text1" w:themeTint="BF"/>
          <w:kern w:val="2"/>
          <w14:ligatures w14:val="standard"/>
        </w:rPr>
        <w:t>Notes for the group when they are off on a tangent or spinning their wheels (redundant, going in circles).</w:t>
      </w:r>
    </w:p>
    <w:p w:rsidR="009A6277" w:rsidRPr="00F85D60" w:rsidRDefault="009A6277" w:rsidP="009A6277">
      <w:pPr>
        <w:numPr>
          <w:ilvl w:val="1"/>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color w:val="404040" w:themeColor="text1" w:themeTint="BF"/>
          <w:kern w:val="2"/>
          <w14:ligatures w14:val="standard"/>
        </w:rPr>
        <w:t>At the same time, adjusts when necessary to allow for vigorous debate, rich discussion and careful deliberation.</w:t>
      </w:r>
    </w:p>
    <w:p w:rsidR="009A6277" w:rsidRPr="00F85D60" w:rsidRDefault="009A6277" w:rsidP="009A6277">
      <w:pPr>
        <w:numPr>
          <w:ilvl w:val="1"/>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color w:val="404040" w:themeColor="text1" w:themeTint="BF"/>
          <w:kern w:val="2"/>
          <w14:ligatures w14:val="standard"/>
        </w:rPr>
        <w:t>Models economy of language and clarity of ideas.</w:t>
      </w:r>
    </w:p>
    <w:p w:rsidR="009A6277" w:rsidRPr="00F85D60" w:rsidRDefault="009A6277" w:rsidP="009A6277">
      <w:pPr>
        <w:numPr>
          <w:ilvl w:val="0"/>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b/>
          <w:color w:val="404040" w:themeColor="text1" w:themeTint="BF"/>
          <w:kern w:val="2"/>
          <w14:ligatures w14:val="standard"/>
        </w:rPr>
        <w:t xml:space="preserve">Maintaining focus:  </w:t>
      </w:r>
      <w:r w:rsidRPr="00F85D60">
        <w:rPr>
          <w:rFonts w:ascii="Segoe UI" w:hAnsi="Segoe UI" w:cs="Segoe UI"/>
          <w:color w:val="404040" w:themeColor="text1" w:themeTint="BF"/>
          <w:kern w:val="2"/>
          <w14:ligatures w14:val="standard"/>
        </w:rPr>
        <w:t xml:space="preserve">Steers the group around “rabbit holes” – questions </w:t>
      </w:r>
      <w:r>
        <w:rPr>
          <w:rFonts w:ascii="Segoe UI" w:hAnsi="Segoe UI" w:cs="Segoe UI"/>
          <w:color w:val="404040" w:themeColor="text1" w:themeTint="BF"/>
          <w:kern w:val="2"/>
          <w14:ligatures w14:val="standard"/>
        </w:rPr>
        <w:t xml:space="preserve">that are hard to solve in a UU </w:t>
      </w:r>
      <w:r w:rsidRPr="00F85D60">
        <w:rPr>
          <w:rFonts w:ascii="Segoe UI" w:hAnsi="Segoe UI" w:cs="Segoe UI"/>
          <w:color w:val="404040" w:themeColor="text1" w:themeTint="BF"/>
          <w:kern w:val="2"/>
          <w14:ligatures w14:val="standard"/>
        </w:rPr>
        <w:t>or overly cerebral, philosophical issues.  Allows for humor, fun and personal interactions but keeps the group’s eyes on the prize.</w:t>
      </w:r>
    </w:p>
    <w:p w:rsidR="009A6277" w:rsidRPr="00F85D60" w:rsidRDefault="009A6277" w:rsidP="009A6277">
      <w:pPr>
        <w:numPr>
          <w:ilvl w:val="0"/>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b/>
          <w:color w:val="404040" w:themeColor="text1" w:themeTint="BF"/>
          <w:kern w:val="2"/>
          <w14:ligatures w14:val="standard"/>
        </w:rPr>
        <w:t xml:space="preserve">Ensures fidelity to the protocol:  </w:t>
      </w:r>
      <w:r w:rsidRPr="00F85D60">
        <w:rPr>
          <w:rFonts w:ascii="Segoe UI" w:hAnsi="Segoe UI" w:cs="Segoe UI"/>
          <w:color w:val="404040" w:themeColor="text1" w:themeTint="BF"/>
          <w:kern w:val="2"/>
          <w14:ligatures w14:val="standard"/>
        </w:rPr>
        <w:t>Makes specific reference to the protocol and ensures that all participants have copies to refer to and are versed in the document.</w:t>
      </w:r>
    </w:p>
    <w:p w:rsidR="009A6277" w:rsidRPr="00F85D60" w:rsidRDefault="009A6277" w:rsidP="009A6277">
      <w:pPr>
        <w:numPr>
          <w:ilvl w:val="0"/>
          <w:numId w:val="7"/>
        </w:numPr>
        <w:spacing w:after="160" w:line="259" w:lineRule="auto"/>
        <w:contextualSpacing/>
        <w:rPr>
          <w:rFonts w:ascii="Segoe UI" w:hAnsi="Segoe UI" w:cs="Segoe UI"/>
          <w:b/>
          <w:color w:val="404040" w:themeColor="text1" w:themeTint="BF"/>
          <w:kern w:val="2"/>
          <w14:ligatures w14:val="standard"/>
        </w:rPr>
      </w:pPr>
      <w:r w:rsidRPr="00F85D60">
        <w:rPr>
          <w:rFonts w:ascii="Segoe UI" w:hAnsi="Segoe UI" w:cs="Segoe UI"/>
          <w:b/>
          <w:color w:val="404040" w:themeColor="text1" w:themeTint="BF"/>
          <w:kern w:val="2"/>
          <w14:ligatures w14:val="standard"/>
        </w:rPr>
        <w:t>Pushes for clarity</w:t>
      </w:r>
    </w:p>
    <w:p w:rsidR="009A6277" w:rsidRPr="00F85D60" w:rsidRDefault="009A6277" w:rsidP="009A6277">
      <w:pPr>
        <w:numPr>
          <w:ilvl w:val="1"/>
          <w:numId w:val="7"/>
        </w:numPr>
        <w:spacing w:after="160" w:line="259" w:lineRule="auto"/>
        <w:contextualSpacing/>
        <w:rPr>
          <w:rFonts w:ascii="Segoe UI" w:hAnsi="Segoe UI" w:cs="Segoe UI"/>
          <w:color w:val="404040" w:themeColor="text1" w:themeTint="BF"/>
          <w:kern w:val="2"/>
          <w14:ligatures w14:val="standard"/>
        </w:rPr>
      </w:pPr>
      <w:r w:rsidRPr="00F85D60">
        <w:rPr>
          <w:rFonts w:ascii="Segoe UI" w:hAnsi="Segoe UI" w:cs="Segoe UI"/>
          <w:color w:val="404040" w:themeColor="text1" w:themeTint="BF"/>
          <w:kern w:val="2"/>
          <w14:ligatures w14:val="standard"/>
        </w:rPr>
        <w:t>Draws out tensions and challenges the group to reconcile them.</w:t>
      </w:r>
    </w:p>
    <w:p w:rsidR="009A6277" w:rsidRPr="00F85D60" w:rsidRDefault="009A6277" w:rsidP="009A6277">
      <w:pPr>
        <w:numPr>
          <w:ilvl w:val="1"/>
          <w:numId w:val="7"/>
        </w:numPr>
        <w:spacing w:after="160" w:line="259" w:lineRule="auto"/>
        <w:contextualSpacing/>
        <w:rPr>
          <w:rFonts w:ascii="Segoe UI" w:hAnsi="Segoe UI" w:cs="Segoe UI"/>
          <w:color w:val="404040" w:themeColor="text1" w:themeTint="BF"/>
          <w:kern w:val="2"/>
          <w14:ligatures w14:val="standard"/>
        </w:rPr>
      </w:pPr>
      <w:r w:rsidRPr="00F85D60">
        <w:rPr>
          <w:rFonts w:ascii="Segoe UI" w:hAnsi="Segoe UI" w:cs="Segoe UI"/>
          <w:color w:val="404040" w:themeColor="text1" w:themeTint="BF"/>
          <w:kern w:val="2"/>
          <w14:ligatures w14:val="standard"/>
        </w:rPr>
        <w:t>Periodically summarizes and synthesizes.</w:t>
      </w:r>
    </w:p>
    <w:p w:rsidR="009A6277" w:rsidRPr="00F85D60" w:rsidRDefault="009A6277" w:rsidP="009A6277">
      <w:pPr>
        <w:numPr>
          <w:ilvl w:val="1"/>
          <w:numId w:val="7"/>
        </w:numPr>
        <w:spacing w:after="160" w:line="259" w:lineRule="auto"/>
        <w:contextualSpacing/>
        <w:rPr>
          <w:rFonts w:ascii="Segoe UI" w:hAnsi="Segoe UI" w:cs="Segoe UI"/>
          <w:color w:val="404040" w:themeColor="text1" w:themeTint="BF"/>
          <w:kern w:val="2"/>
          <w14:ligatures w14:val="standard"/>
        </w:rPr>
      </w:pPr>
      <w:r w:rsidRPr="00F85D60">
        <w:rPr>
          <w:rFonts w:ascii="Segoe UI" w:hAnsi="Segoe UI" w:cs="Segoe UI"/>
          <w:color w:val="404040" w:themeColor="text1" w:themeTint="BF"/>
          <w:kern w:val="2"/>
          <w14:ligatures w14:val="standard"/>
        </w:rPr>
        <w:t>Assigns a note-taker and makes sure next steps are captured and distributed to the team.</w:t>
      </w:r>
    </w:p>
    <w:p w:rsidR="009A6277" w:rsidRPr="00F85D60" w:rsidRDefault="009A6277" w:rsidP="009A6277">
      <w:pPr>
        <w:numPr>
          <w:ilvl w:val="1"/>
          <w:numId w:val="7"/>
        </w:numPr>
        <w:spacing w:after="160" w:line="259" w:lineRule="auto"/>
        <w:contextualSpacing/>
        <w:rPr>
          <w:rFonts w:ascii="Segoe UI" w:hAnsi="Segoe UI" w:cs="Segoe UI"/>
          <w:color w:val="404040" w:themeColor="text1" w:themeTint="BF"/>
          <w:kern w:val="2"/>
          <w14:ligatures w14:val="standard"/>
        </w:rPr>
      </w:pPr>
      <w:r w:rsidRPr="00F85D60">
        <w:rPr>
          <w:rFonts w:ascii="Segoe UI" w:hAnsi="Segoe UI" w:cs="Segoe UI"/>
          <w:color w:val="404040" w:themeColor="text1" w:themeTint="BF"/>
          <w:kern w:val="2"/>
          <w14:ligatures w14:val="standard"/>
        </w:rPr>
        <w:t>Uses CFU and stretch-it questions to probe for clarity and insight.</w:t>
      </w:r>
    </w:p>
    <w:p w:rsidR="009A6277" w:rsidRPr="009A6277" w:rsidRDefault="009A6277" w:rsidP="009A6277">
      <w:pPr>
        <w:pStyle w:val="ListParagraph"/>
        <w:numPr>
          <w:ilvl w:val="0"/>
          <w:numId w:val="13"/>
        </w:numPr>
        <w:sectPr w:rsidR="009A6277" w:rsidRPr="009A6277" w:rsidSect="009A6277">
          <w:pgSz w:w="12240" w:h="15840"/>
          <w:pgMar w:top="720" w:right="720" w:bottom="720" w:left="720" w:header="720" w:footer="720" w:gutter="0"/>
          <w:cols w:space="720"/>
          <w:docGrid w:linePitch="360"/>
        </w:sectPr>
      </w:pPr>
      <w:r w:rsidRPr="00F85D60">
        <w:rPr>
          <w:rFonts w:ascii="Segoe UI" w:hAnsi="Segoe UI" w:cs="Segoe UI"/>
          <w:b/>
          <w:color w:val="404040" w:themeColor="text1" w:themeTint="BF"/>
          <w:kern w:val="2"/>
          <w14:ligatures w14:val="standard"/>
        </w:rPr>
        <w:t>Fosters a sense of “Team and Family” via a p</w:t>
      </w:r>
      <w:r>
        <w:rPr>
          <w:rFonts w:ascii="Segoe UI" w:hAnsi="Segoe UI" w:cs="Segoe UI"/>
          <w:b/>
          <w:color w:val="404040" w:themeColor="text1" w:themeTint="BF"/>
          <w:kern w:val="2"/>
          <w14:ligatures w14:val="standard"/>
        </w:rPr>
        <w:t>ositive, upbeat and joyous tone.</w:t>
      </w:r>
    </w:p>
    <w:p w:rsidR="00302426" w:rsidRDefault="00302426" w:rsidP="009A6277">
      <w:pPr>
        <w:spacing w:after="0" w:line="240" w:lineRule="auto"/>
      </w:pPr>
    </w:p>
    <w:sectPr w:rsidR="00302426" w:rsidSect="009A62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09B" w:rsidRDefault="000C209B" w:rsidP="009A6277">
      <w:pPr>
        <w:spacing w:after="0" w:line="240" w:lineRule="auto"/>
      </w:pPr>
      <w:r>
        <w:separator/>
      </w:r>
    </w:p>
  </w:endnote>
  <w:endnote w:type="continuationSeparator" w:id="0">
    <w:p w:rsidR="000C209B" w:rsidRDefault="000C209B" w:rsidP="009A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09B" w:rsidRDefault="000C209B" w:rsidP="009A6277">
      <w:pPr>
        <w:spacing w:after="0" w:line="240" w:lineRule="auto"/>
      </w:pPr>
      <w:r>
        <w:separator/>
      </w:r>
    </w:p>
  </w:footnote>
  <w:footnote w:type="continuationSeparator" w:id="0">
    <w:p w:rsidR="000C209B" w:rsidRDefault="000C209B" w:rsidP="009A6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934"/>
    <w:multiLevelType w:val="hybridMultilevel"/>
    <w:tmpl w:val="246A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04139"/>
    <w:multiLevelType w:val="hybridMultilevel"/>
    <w:tmpl w:val="D1A075E8"/>
    <w:lvl w:ilvl="0" w:tplc="7BA853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33C"/>
    <w:multiLevelType w:val="hybridMultilevel"/>
    <w:tmpl w:val="01FA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C62AC"/>
    <w:multiLevelType w:val="hybridMultilevel"/>
    <w:tmpl w:val="7AA20B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26A19A3"/>
    <w:multiLevelType w:val="hybridMultilevel"/>
    <w:tmpl w:val="938248C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75CC"/>
    <w:multiLevelType w:val="hybridMultilevel"/>
    <w:tmpl w:val="01FA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02246"/>
    <w:multiLevelType w:val="hybridMultilevel"/>
    <w:tmpl w:val="3A1EF90C"/>
    <w:lvl w:ilvl="0" w:tplc="9BE2DD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7038"/>
    <w:multiLevelType w:val="hybridMultilevel"/>
    <w:tmpl w:val="BD6A17C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90F70"/>
    <w:multiLevelType w:val="hybridMultilevel"/>
    <w:tmpl w:val="E45E7F0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64B1E"/>
    <w:multiLevelType w:val="hybridMultilevel"/>
    <w:tmpl w:val="A4EC9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623C6"/>
    <w:multiLevelType w:val="hybridMultilevel"/>
    <w:tmpl w:val="DFDC7C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F77C1"/>
    <w:multiLevelType w:val="hybridMultilevel"/>
    <w:tmpl w:val="F7E47DB0"/>
    <w:lvl w:ilvl="0" w:tplc="E5C8CEE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396E8A"/>
    <w:multiLevelType w:val="hybridMultilevel"/>
    <w:tmpl w:val="DC7C00C2"/>
    <w:lvl w:ilvl="0" w:tplc="378A3830">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43B66"/>
    <w:multiLevelType w:val="hybridMultilevel"/>
    <w:tmpl w:val="C53C47B6"/>
    <w:lvl w:ilvl="0" w:tplc="459E10B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2F1449"/>
    <w:multiLevelType w:val="hybridMultilevel"/>
    <w:tmpl w:val="25DCC0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F38FC"/>
    <w:multiLevelType w:val="hybridMultilevel"/>
    <w:tmpl w:val="81EA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1F5313"/>
    <w:multiLevelType w:val="hybridMultilevel"/>
    <w:tmpl w:val="3A1EF90C"/>
    <w:lvl w:ilvl="0" w:tplc="9BE2DD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73781"/>
    <w:multiLevelType w:val="hybridMultilevel"/>
    <w:tmpl w:val="32C06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84A6DC4">
      <w:start w:val="4"/>
      <w:numFmt w:val="bullet"/>
      <w:lvlText w:val="-"/>
      <w:lvlJc w:val="left"/>
      <w:pPr>
        <w:ind w:left="3600" w:hanging="360"/>
      </w:pPr>
      <w:rPr>
        <w:rFonts w:ascii="Franklin Gothic Book" w:eastAsiaTheme="minorHAnsi" w:hAnsi="Franklin Gothic Book"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B0CAC"/>
    <w:multiLevelType w:val="hybridMultilevel"/>
    <w:tmpl w:val="95741D5C"/>
    <w:lvl w:ilvl="0" w:tplc="1E4ED7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666E6"/>
    <w:multiLevelType w:val="hybridMultilevel"/>
    <w:tmpl w:val="9BE41A5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97F0C"/>
    <w:multiLevelType w:val="hybridMultilevel"/>
    <w:tmpl w:val="7CD098C2"/>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35CE4"/>
    <w:multiLevelType w:val="hybridMultilevel"/>
    <w:tmpl w:val="56D6D02E"/>
    <w:lvl w:ilvl="0" w:tplc="070CBC7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24C0A"/>
    <w:multiLevelType w:val="hybridMultilevel"/>
    <w:tmpl w:val="4D8C6FC6"/>
    <w:lvl w:ilvl="0" w:tplc="FB9C29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0"/>
  </w:num>
  <w:num w:numId="5">
    <w:abstractNumId w:val="10"/>
  </w:num>
  <w:num w:numId="6">
    <w:abstractNumId w:val="15"/>
  </w:num>
  <w:num w:numId="7">
    <w:abstractNumId w:val="12"/>
  </w:num>
  <w:num w:numId="8">
    <w:abstractNumId w:val="5"/>
  </w:num>
  <w:num w:numId="9">
    <w:abstractNumId w:val="16"/>
  </w:num>
  <w:num w:numId="10">
    <w:abstractNumId w:val="2"/>
  </w:num>
  <w:num w:numId="11">
    <w:abstractNumId w:val="6"/>
  </w:num>
  <w:num w:numId="12">
    <w:abstractNumId w:val="22"/>
  </w:num>
  <w:num w:numId="13">
    <w:abstractNumId w:val="20"/>
  </w:num>
  <w:num w:numId="14">
    <w:abstractNumId w:val="3"/>
  </w:num>
  <w:num w:numId="15">
    <w:abstractNumId w:val="19"/>
  </w:num>
  <w:num w:numId="16">
    <w:abstractNumId w:val="13"/>
  </w:num>
  <w:num w:numId="17">
    <w:abstractNumId w:val="4"/>
  </w:num>
  <w:num w:numId="18">
    <w:abstractNumId w:val="7"/>
  </w:num>
  <w:num w:numId="19">
    <w:abstractNumId w:val="9"/>
  </w:num>
  <w:num w:numId="20">
    <w:abstractNumId w:val="8"/>
  </w:num>
  <w:num w:numId="21">
    <w:abstractNumId w:val="18"/>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60"/>
    <w:rsid w:val="000C209B"/>
    <w:rsid w:val="00103840"/>
    <w:rsid w:val="00302426"/>
    <w:rsid w:val="0037067F"/>
    <w:rsid w:val="00585C08"/>
    <w:rsid w:val="00905464"/>
    <w:rsid w:val="00911039"/>
    <w:rsid w:val="00936082"/>
    <w:rsid w:val="009A6277"/>
    <w:rsid w:val="009C737F"/>
    <w:rsid w:val="00C5308F"/>
    <w:rsid w:val="00D574BD"/>
    <w:rsid w:val="00EB233D"/>
    <w:rsid w:val="00F52426"/>
    <w:rsid w:val="00F8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3AC6C-16B5-426B-B00A-D0435176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D60"/>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D60"/>
    <w:pPr>
      <w:ind w:left="720"/>
      <w:contextualSpacing/>
    </w:pPr>
  </w:style>
  <w:style w:type="character" w:styleId="CommentReference">
    <w:name w:val="annotation reference"/>
    <w:basedOn w:val="DefaultParagraphFont"/>
    <w:uiPriority w:val="99"/>
    <w:semiHidden/>
    <w:unhideWhenUsed/>
    <w:rsid w:val="0037067F"/>
    <w:rPr>
      <w:sz w:val="16"/>
      <w:szCs w:val="16"/>
    </w:rPr>
  </w:style>
  <w:style w:type="paragraph" w:styleId="CommentText">
    <w:name w:val="annotation text"/>
    <w:basedOn w:val="Normal"/>
    <w:link w:val="CommentTextChar"/>
    <w:uiPriority w:val="99"/>
    <w:semiHidden/>
    <w:unhideWhenUsed/>
    <w:rsid w:val="0037067F"/>
    <w:pPr>
      <w:spacing w:line="240" w:lineRule="auto"/>
    </w:pPr>
    <w:rPr>
      <w:sz w:val="20"/>
      <w:szCs w:val="20"/>
    </w:rPr>
  </w:style>
  <w:style w:type="character" w:customStyle="1" w:styleId="CommentTextChar">
    <w:name w:val="Comment Text Char"/>
    <w:basedOn w:val="DefaultParagraphFont"/>
    <w:link w:val="CommentText"/>
    <w:uiPriority w:val="99"/>
    <w:semiHidden/>
    <w:rsid w:val="0037067F"/>
    <w:rPr>
      <w:sz w:val="20"/>
      <w:szCs w:val="20"/>
    </w:rPr>
  </w:style>
  <w:style w:type="paragraph" w:styleId="CommentSubject">
    <w:name w:val="annotation subject"/>
    <w:basedOn w:val="CommentText"/>
    <w:next w:val="CommentText"/>
    <w:link w:val="CommentSubjectChar"/>
    <w:uiPriority w:val="99"/>
    <w:semiHidden/>
    <w:unhideWhenUsed/>
    <w:rsid w:val="0037067F"/>
    <w:rPr>
      <w:b/>
      <w:bCs/>
    </w:rPr>
  </w:style>
  <w:style w:type="character" w:customStyle="1" w:styleId="CommentSubjectChar">
    <w:name w:val="Comment Subject Char"/>
    <w:basedOn w:val="CommentTextChar"/>
    <w:link w:val="CommentSubject"/>
    <w:uiPriority w:val="99"/>
    <w:semiHidden/>
    <w:rsid w:val="0037067F"/>
    <w:rPr>
      <w:b/>
      <w:bCs/>
      <w:sz w:val="20"/>
      <w:szCs w:val="20"/>
    </w:rPr>
  </w:style>
  <w:style w:type="paragraph" w:styleId="BalloonText">
    <w:name w:val="Balloon Text"/>
    <w:basedOn w:val="Normal"/>
    <w:link w:val="BalloonTextChar"/>
    <w:uiPriority w:val="99"/>
    <w:semiHidden/>
    <w:unhideWhenUsed/>
    <w:rsid w:val="00370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67F"/>
    <w:rPr>
      <w:rFonts w:ascii="Tahoma" w:hAnsi="Tahoma" w:cs="Tahoma"/>
      <w:sz w:val="16"/>
      <w:szCs w:val="16"/>
    </w:rPr>
  </w:style>
  <w:style w:type="paragraph" w:styleId="Header">
    <w:name w:val="header"/>
    <w:basedOn w:val="Normal"/>
    <w:link w:val="HeaderChar"/>
    <w:uiPriority w:val="99"/>
    <w:unhideWhenUsed/>
    <w:rsid w:val="009A6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77"/>
  </w:style>
  <w:style w:type="paragraph" w:styleId="Footer">
    <w:name w:val="footer"/>
    <w:basedOn w:val="Normal"/>
    <w:link w:val="FooterChar"/>
    <w:uiPriority w:val="99"/>
    <w:unhideWhenUsed/>
    <w:rsid w:val="009A6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SFDVX333FYKN-688-137</_dlc_DocId>
    <_dlc_DocIdUrl xmlns="0676cee9-fd60-4c1c-9e5b-5120ec0b3480">
      <Url>https://manyminds.achievementfirst.org/sites/NetworkSupport/AcademicOps/ReadinessHub/_layouts/15/DocIdRedir.aspx?ID=SFDVX333FYKN-688-137</Url>
      <Description>SFDVX333FYKN-688-137</Description>
    </_dlc_DocIdUrl>
    <Document_x0020_Type xmlns="dcca1e62-103a-430e-899b-183a48ecb53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EF77D-6114-41C5-9B33-97E3618D5FAF}">
  <ds:schemaRefs>
    <ds:schemaRef ds:uri="http://schemas.microsoft.com/sharepoint/v3/contenttype/forms"/>
  </ds:schemaRefs>
</ds:datastoreItem>
</file>

<file path=customXml/itemProps2.xml><?xml version="1.0" encoding="utf-8"?>
<ds:datastoreItem xmlns:ds="http://schemas.openxmlformats.org/officeDocument/2006/customXml" ds:itemID="{5C806A4D-A89B-4315-AD51-12CA5325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6cee9-fd60-4c1c-9e5b-5120ec0b3480"/>
    <ds:schemaRef ds:uri="dcca1e62-103a-430e-899b-183a48ec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1006A-B4CD-49FC-B0FF-9909A1D3C194}">
  <ds:schemaRefs>
    <ds:schemaRef ds:uri="http://schemas.microsoft.com/office/2006/metadata/properties"/>
    <ds:schemaRef ds:uri="http://schemas.microsoft.com/office/infopath/2007/PartnerControls"/>
    <ds:schemaRef ds:uri="0676cee9-fd60-4c1c-9e5b-5120ec0b3480"/>
    <ds:schemaRef ds:uri="dcca1e62-103a-430e-899b-183a48ecb53a"/>
  </ds:schemaRefs>
</ds:datastoreItem>
</file>

<file path=customXml/itemProps4.xml><?xml version="1.0" encoding="utf-8"?>
<ds:datastoreItem xmlns:ds="http://schemas.openxmlformats.org/officeDocument/2006/customXml" ds:itemID="{7F795F01-20E0-4113-9418-8B07F5B168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Rene Morgan</cp:lastModifiedBy>
  <cp:revision>2</cp:revision>
  <dcterms:created xsi:type="dcterms:W3CDTF">2018-07-02T16:45:00Z</dcterms:created>
  <dcterms:modified xsi:type="dcterms:W3CDTF">2018-07-02T16:45:00Z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5a3ee1b1-9bca-48bb-a609-f19100de8754</vt:lpwstr>
  </property>
</Properties>
</file>